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Segoe UI" w:hAnsi="Segoe UI" w:eastAsia="Segoe UI" w:cs="Segoe UI"/>
          <w:i w:val="0"/>
          <w:iCs w:val="0"/>
          <w:caps w:val="0"/>
          <w:color w:val="262626"/>
          <w:spacing w:val="0"/>
          <w:sz w:val="36"/>
          <w:szCs w:val="36"/>
        </w:rPr>
      </w:pPr>
      <w:r>
        <w:rPr>
          <w:rFonts w:hint="default" w:ascii="Segoe UI" w:hAnsi="Segoe UI" w:eastAsia="Segoe UI" w:cs="Segoe UI"/>
          <w:i w:val="0"/>
          <w:iCs w:val="0"/>
          <w:caps w:val="0"/>
          <w:color w:val="262626"/>
          <w:spacing w:val="0"/>
          <w:kern w:val="0"/>
          <w:sz w:val="36"/>
          <w:szCs w:val="36"/>
          <w:bdr w:val="none" w:color="auto" w:sz="0" w:space="0"/>
          <w:lang w:val="en-US" w:eastAsia="zh-CN" w:bidi="ar"/>
        </w:rPr>
        <w:t>山东农业大学研究生指导教师工作条例</w:t>
      </w:r>
    </w:p>
    <w:p>
      <w:pPr>
        <w:keepNext w:val="0"/>
        <w:keepLines w:val="0"/>
        <w:widowControl/>
        <w:suppressLineNumbers w:val="0"/>
        <w:pBdr>
          <w:bottom w:val="single" w:color="E8E8E8" w:sz="4" w:space="14"/>
        </w:pBdr>
        <w:spacing w:before="0" w:beforeAutospacing="0" w:after="0" w:afterAutospacing="0"/>
        <w:ind w:left="0" w:right="0" w:firstLine="0"/>
        <w:jc w:val="center"/>
        <w:rPr>
          <w:rFonts w:hint="default" w:ascii="Segoe UI" w:hAnsi="Segoe UI" w:eastAsia="Segoe UI" w:cs="Segoe UI"/>
          <w:i w:val="0"/>
          <w:iCs w:val="0"/>
          <w:caps w:val="0"/>
          <w:color w:val="999999"/>
          <w:spacing w:val="0"/>
          <w:sz w:val="16"/>
          <w:szCs w:val="16"/>
        </w:rPr>
      </w:pPr>
      <w:r>
        <w:rPr>
          <w:rFonts w:hint="default" w:ascii="Segoe UI" w:hAnsi="Segoe UI" w:eastAsia="Segoe UI" w:cs="Segoe UI"/>
          <w:i w:val="0"/>
          <w:iCs w:val="0"/>
          <w:caps w:val="0"/>
          <w:color w:val="999999"/>
          <w:spacing w:val="0"/>
          <w:kern w:val="0"/>
          <w:sz w:val="16"/>
          <w:szCs w:val="16"/>
          <w:bdr w:val="none" w:color="auto" w:sz="0" w:space="0"/>
          <w:lang w:val="en-US" w:eastAsia="zh-CN" w:bidi="ar"/>
        </w:rPr>
        <w:t>发布日期：2020-11-12</w:t>
      </w:r>
      <w:r>
        <w:rPr>
          <w:rFonts w:hint="default" w:ascii="Segoe UI" w:hAnsi="Segoe UI" w:eastAsia="Segoe UI" w:cs="Segoe UI"/>
          <w:i w:val="0"/>
          <w:iCs w:val="0"/>
          <w:caps w:val="0"/>
          <w:color w:val="999999"/>
          <w:spacing w:val="0"/>
          <w:kern w:val="0"/>
          <w:sz w:val="16"/>
          <w:szCs w:val="16"/>
          <w:lang w:val="en-US" w:eastAsia="zh-CN" w:bidi="ar"/>
        </w:rPr>
        <w:t> </w:t>
      </w:r>
      <w:r>
        <w:rPr>
          <w:rFonts w:hint="default" w:ascii="Segoe UI" w:hAnsi="Segoe UI" w:eastAsia="Segoe UI" w:cs="Segoe UI"/>
          <w:i w:val="0"/>
          <w:iCs w:val="0"/>
          <w:caps w:val="0"/>
          <w:color w:val="999999"/>
          <w:spacing w:val="0"/>
          <w:kern w:val="0"/>
          <w:sz w:val="16"/>
          <w:szCs w:val="16"/>
          <w:bdr w:val="none" w:color="auto" w:sz="0" w:space="0"/>
          <w:lang w:val="en-US" w:eastAsia="zh-CN" w:bidi="ar"/>
        </w:rPr>
        <w:t>浏览次数：367</w:t>
      </w:r>
    </w:p>
    <w:p>
      <w:pPr>
        <w:pStyle w:val="2"/>
        <w:keepNext w:val="0"/>
        <w:keepLines w:val="0"/>
        <w:widowControl/>
        <w:suppressLineNumbers w:val="0"/>
        <w:spacing w:before="0" w:beforeAutospacing="0" w:after="192" w:afterAutospacing="0" w:line="18" w:lineRule="atLeast"/>
        <w:ind w:left="0" w:right="0" w:firstLine="0"/>
        <w:jc w:val="center"/>
      </w:pPr>
      <w:r>
        <w:rPr>
          <w:rFonts w:hint="default" w:ascii="Segoe UI" w:hAnsi="Segoe UI" w:eastAsia="Segoe UI" w:cs="Segoe UI"/>
          <w:i w:val="0"/>
          <w:iCs w:val="0"/>
          <w:caps w:val="0"/>
          <w:color w:val="595959"/>
          <w:spacing w:val="0"/>
          <w:sz w:val="19"/>
          <w:szCs w:val="19"/>
        </w:rPr>
        <w:t>山农大校字〔2013〕12号</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    为了充分发挥研究生导师（以下简称导师）在研究生教育中的主导作用，提高研究生导师队伍的水平，特制定本条例。</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一、导师资格审核</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凡我校博士学位授权学科专业的教授，均可申请招收培养博士研究生。凡我校硕士学位授权学科专业的教授、副教授，均可申请招收培养硕士研究生。学校根据申请招收研究生导师的往年实绩和每年的科研项目、经费等有关情况审核确定本年度招生资格。</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二、导师资格条件</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（一）硕士生导师</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1.坚持四项基本原则，政治思想好，教书育人、为人师表、作风正派，具有严谨的治学态度和良好的职业道德，能认真履行导师职责。</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2.年龄在57岁以下，副教授以上或相应职务的教学、科研人员，身体健康，40岁以下副教授应具有博士学位。</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3.有较高的学术水平和独立指导研究生进行科研工作的能力，目前承担有较重要的科研项目，有明确的研究方向，并作为课题的主要负责人，有较充足的科研经费（具体经费要求由各学院确定）。近三年在国内外重要学术刊物发表3篇以上的学术论文，或有正式出版的专著，或有厅级以上的科研成果（论文、成果排名具体要求由各学院确定）。</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（二）博士生导师</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1.坚持四项基本原则，热爱研究生教育事业，熟悉国家有关研究生教育的政策、法规，教书育人、为人师表、作风正派，具有严谨的治学态度和高尚的科研道德，能认真履行导师职责，每年能保证有半年以上的时间在国内指导博士生。</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2.必须是学校聘任的、具有教授职务（或相应专业技术职务）的教学、科研人员。身体健康，能担负起指导博士生的责任。年龄在57岁以下。50以下教授原则应具有博士学位。</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3.有较高的学术造诣和丰富的科研工作经验，能及时掌握本学科的前沿领域及发展趋势。</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近三年在国际和国家级高水平的学术期刊上，发表本专业论文至少3篇，其中1篇被SCI、EI、SSCI收录，或者至少出版1部高水平的学术著作（第一作者）。或有重要的科研成果，获得国家科技成果奖（前4位），或省部级科技成果一等奖（前3位），或省部级科技成果二等奖（前2位），并产生了一定的经济和社会效益。</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4.所从事的研究方向特色突出，优势明显，承担国家级或省部级科研项目或其它重要项目。有较充足的科研经费（具体经费要求由各学院确定）。</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5.有培养硕士研究生经验，至少已完整培养过一届硕士研究生或参加博士生指导小组工作并完整地协助指导过一届博士研究生，培养质量高。能承担研究生的教学任务，主讲过硕士研究生专业或专业基础课程，教学效果好，并能为博士研究生开设学位课或学科前沿的课程。</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 三、导师的职责</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（一）导师是研究生教育的第一责任人。导师应遵守上级和学校有关学位与研究生教育方面的政策法规，教书育人，言传身教。</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导师要对研究生进行爱国主义、集体主义、社会主义和遵纪守法教育，导师要了解并掌握研究生的政治思想表现，做好研究生的政治思想工作，注重研究生政治素质及综合素质的培养，关心研究生的全面成长和人身财产安全。</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3.在学院的统一领导及导师组的统一安排下，制定与修订本专业研究生培养方案和教学计划，承担研究生入学考试的命题、阅卷及复试工作。</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4.按照本专业研究生培养方案的要求，全面指导和关心研究生的业务学习和科学研究，指导研究生制定培养计划，定期检查和指导研究生课程学习；安排研究生教学与科研实践；确定学位论文的研究选题，指导文献阅读，审定开题报告和试验设计，检查研究生的科学研究进展并帮助解决科研过程出现的问题；指导研究生学位论文写作；切实把好培养质量关。</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5.承担研究生课程教学，并为研究生开设专题讲座。参加研究生开题报告、论文综述报告和科研进展报告等培养环节的工作。</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6.参加研究生的中期考核和毕业鉴定，对研究生做出客观、准确、公正、全面的评价，协助学院做好优秀研究生的推荐选拔工作和优秀学位论文的推荐评选工作。协助做好研究生的就业指导工作。</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四、实行导师资助制</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1.招收博士研究生的导师（每年每导师博士生总招生人数限3名以内）按招收第一个博士生1万元/生/3年（社科类按标准的1/3交，下同）、招收第二个博士生按2万元/生/3年、招收第三个博士生3万元/生/3年的标准上交学校财务，上交经费用于建立博士研究生创新基金和补贴研究生生活。</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2.根据导师课题经费情况和研究生实际助研情况，导师每月应至少给予硕士研究生100元，博士研究生300元的科研津贴。</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 五、导师工作的管理与考核</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 1.实行导师招生资格审核制后，每年根据导师基本条件和履行职责情况对申请招收研究生的导师进行招生资格审核。对不能履行导师职责或因科研项目、经费等原因不具备招生资格时，停止研究生招生资格。退休前三年不再批准招收新研究生（学科急需的优秀人才除外）。</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2.学校每三年评选一次优秀研究生指导教师，名额为导师总数的10—15%，由各学院在全面考核、民主测评的基础上组织推选。</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对所指导的研究生取得突出成绩的，优先评选优秀指导教师。对指导的研究生受纪律处分，或因课程不及格而受处理，或中期考核不合格，或论文评阅、答辩出现问题的，或论文抽检结果较差，不能评为优秀指导教师，并视情况减少或停止招收研究生。</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3.对指导的研究生获国家级和省级优秀博士论文或硕士论文的导师，学校给予相应奖励。奖励办法为，对获得省级和国家级优秀博士论文的导师，分别与获得省和国家科技进步二等奖同等对待；对获得省级硕士论文的导师，与获得省级科技进步三等奖同等对待。</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六、本条例自发布之日起施行，由研究生处负责解释。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D1F15"/>
    <w:rsid w:val="657D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2021-07-01T08:09:00Z</dcterms:created>
  <dc:creator>╰灯火烛天ゝ</dc:creator>
  <cp:lastModifiedBy>╰灯火烛天ゝ</cp:lastModifiedBy>
  <dcterms:modified xsi:type="dcterms:W3CDTF">2021-07-01T08:09:42Z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DF9135E3BC27473497B4EC25BF59CB18</vt:lpwstr>
  </property>
</Properties>
</file>